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D20" w:rsidRDefault="00F31D20" w:rsidP="00F31D20">
      <w:r>
        <w:t xml:space="preserve">Avustralya’da ilaç ve tıbbi cihazların ruhsatlandırılması ve ithalatına ilişkin düzenlemeler </w:t>
      </w:r>
      <w:proofErr w:type="spellStart"/>
      <w:r>
        <w:t>Therapeutic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 1989 isimli yasa uyarınca Avustralya Sağlık Bakanlığı’na bağlı </w:t>
      </w:r>
      <w:proofErr w:type="spellStart"/>
      <w:r>
        <w:t>Theurapatic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 Administration (TGA) isimli kurum tarafından yürütülmektedir.</w:t>
      </w:r>
    </w:p>
    <w:p w:rsidR="00F31D20" w:rsidRDefault="00F31D20" w:rsidP="00F31D20"/>
    <w:p w:rsidR="00F31D20" w:rsidRDefault="00F31D20" w:rsidP="00F31D20">
      <w:r>
        <w:t xml:space="preserve">•       İlaç ruhsatlandırma </w:t>
      </w:r>
      <w:proofErr w:type="gramStart"/>
      <w:r>
        <w:t>prosedürleri</w:t>
      </w:r>
      <w:proofErr w:type="gramEnd"/>
      <w:r>
        <w:t xml:space="preserve"> / süresi ve ilgili kurum/kuruluş bilgileri</w:t>
      </w:r>
    </w:p>
    <w:p w:rsidR="00F31D20" w:rsidRDefault="00F31D20" w:rsidP="00F31D20"/>
    <w:p w:rsidR="00F31D20" w:rsidRDefault="00F31D20" w:rsidP="00F31D20">
      <w:r>
        <w:t xml:space="preserve">İlaç ruhsatlandırma </w:t>
      </w:r>
      <w:proofErr w:type="gramStart"/>
      <w:r>
        <w:t>prosedürleri</w:t>
      </w:r>
      <w:proofErr w:type="gramEnd"/>
      <w:r>
        <w:t xml:space="preserve"> yüksek riskli ve düşük riskli ilaçlar için farklılık göstermekte olup, </w:t>
      </w:r>
      <w:proofErr w:type="spellStart"/>
      <w:r>
        <w:t>TGA’nın</w:t>
      </w:r>
      <w:proofErr w:type="spellEnd"/>
      <w:r>
        <w:t xml:space="preserve"> internet sitesinde yer alan https://www.tga.gov.au/overview-supplying-therapeutic-goods-australia adresinden detaylı bilgi temin edebilirsiniz. Avustralya’da bir ilaç ya da tıbbı cihazın satılabilmesi için “</w:t>
      </w:r>
      <w:proofErr w:type="spellStart"/>
      <w:r>
        <w:t>Australian</w:t>
      </w:r>
      <w:proofErr w:type="spellEnd"/>
      <w:r>
        <w:t xml:space="preserve"> </w:t>
      </w:r>
      <w:proofErr w:type="spellStart"/>
      <w:r>
        <w:t>Register</w:t>
      </w:r>
      <w:proofErr w:type="spellEnd"/>
      <w:r>
        <w:t xml:space="preserve"> of </w:t>
      </w:r>
      <w:proofErr w:type="spellStart"/>
      <w:r>
        <w:t>Therapeutic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, (ARTG / Avustralya Tedavi Edici Ürünler Sicili) isimli listeye </w:t>
      </w:r>
      <w:proofErr w:type="gramStart"/>
      <w:r>
        <w:t>dahil</w:t>
      </w:r>
      <w:proofErr w:type="gramEnd"/>
      <w:r>
        <w:t xml:space="preserve"> olması yasal zorunluluktur. Bahse konu sicile https://www.tga.gov.au/australian-register-therapeutic-goods adresinden erişebilirsiniz. TGA tarafından “</w:t>
      </w:r>
      <w:proofErr w:type="spellStart"/>
      <w:r>
        <w:t>Australian</w:t>
      </w:r>
      <w:proofErr w:type="spellEnd"/>
      <w:r>
        <w:t xml:space="preserve"> </w:t>
      </w:r>
      <w:proofErr w:type="spellStart"/>
      <w:r>
        <w:t>Regulatory</w:t>
      </w:r>
      <w:proofErr w:type="spellEnd"/>
      <w:r>
        <w:t xml:space="preserve"> </w:t>
      </w:r>
      <w:proofErr w:type="spellStart"/>
      <w:r>
        <w:t>Guidelines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Prescription</w:t>
      </w:r>
      <w:proofErr w:type="spellEnd"/>
      <w:r>
        <w:t xml:space="preserve"> </w:t>
      </w:r>
      <w:proofErr w:type="spellStart"/>
      <w:r>
        <w:t>Medicines</w:t>
      </w:r>
      <w:proofErr w:type="spellEnd"/>
      <w:r>
        <w:t>” isimli ilaç ruhsatı başvurusu yapacak kurumlara rehber niteliğinde hazırlanan siteye https://www.tga.gov.au/publication/australian-regulatory-guidelines-prescription-medicines-argpm adresinden erişebilirsiniz.</w:t>
      </w:r>
    </w:p>
    <w:p w:rsidR="00F31D20" w:rsidRDefault="00F31D20" w:rsidP="00F31D20">
      <w:r>
        <w:t xml:space="preserve">  </w:t>
      </w:r>
    </w:p>
    <w:p w:rsidR="00F31D20" w:rsidRDefault="00F31D20" w:rsidP="00F31D20"/>
    <w:p w:rsidR="00F31D20" w:rsidRDefault="00F31D20" w:rsidP="00F31D20">
      <w:r>
        <w:t xml:space="preserve">•       Tıbbi cihaz ruhsatlandırma </w:t>
      </w:r>
      <w:proofErr w:type="gramStart"/>
      <w:r>
        <w:t>prosedürleri</w:t>
      </w:r>
      <w:proofErr w:type="gramEnd"/>
      <w:r>
        <w:t xml:space="preserve"> /süresi ve ilgili kurum/kuruluş bilgileri</w:t>
      </w:r>
    </w:p>
    <w:p w:rsidR="00F31D20" w:rsidRDefault="00F31D20" w:rsidP="00F31D20"/>
    <w:p w:rsidR="00F31D20" w:rsidRDefault="00F31D20" w:rsidP="00F31D20">
      <w:r>
        <w:t xml:space="preserve">Avustralya’da tıbbi cihazların piyasaya sunulabilmesi ve kullanılabilmesi için Avustralya Sağlık Bakanlığı’na bağlı </w:t>
      </w:r>
      <w:proofErr w:type="spellStart"/>
      <w:r>
        <w:t>Theurapatic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 Administration (TGA) tarafından onaylanması ve yukarıda anılan ARTG isimli sicile kaydının yapılması gerekiyor. Tıbbi cihazlara ilişkin mevzuat ekte ve https://www.tga.gov.au/publication/australian-regulatory-guidelines-medical-devices-argmd adresinde yer almakta olup,  konuya ilişkin düzenlemeler hakkında detaylı bilgileri https://www.tga.gov.au/medical-devices-regulation-basics adresinden temin edebilirsiniz</w:t>
      </w:r>
    </w:p>
    <w:p w:rsidR="00F31D20" w:rsidRDefault="00F31D20" w:rsidP="00F31D20"/>
    <w:p w:rsidR="00F31D20" w:rsidRDefault="00F31D20" w:rsidP="00F31D20">
      <w:r>
        <w:t>•       Bu ürün gruplarına yönelik ithalat vergi oranları</w:t>
      </w:r>
    </w:p>
    <w:p w:rsidR="00F31D20" w:rsidRDefault="00F31D20" w:rsidP="00F31D20"/>
    <w:p w:rsidR="00F31D20" w:rsidRDefault="00F31D20" w:rsidP="00F31D20">
      <w:r>
        <w:t>Avustralya gümrük tarife cetveline https://www.homeaffairs.gov.au/trav/impo/work adresinden erişebilirsiniz.</w:t>
      </w:r>
    </w:p>
    <w:p w:rsidR="00F31D20" w:rsidRDefault="00F31D20" w:rsidP="00F31D20"/>
    <w:p w:rsidR="00F31D20" w:rsidRDefault="00F31D20" w:rsidP="00F31D20">
      <w:r>
        <w:t xml:space="preserve">•       Bulunduğunuz ülkenin bu sektörler için potansiyeli </w:t>
      </w:r>
      <w:proofErr w:type="gramStart"/>
      <w:r>
        <w:t>(</w:t>
      </w:r>
      <w:proofErr w:type="gramEnd"/>
      <w:r>
        <w:t>çoğunlukla ithalatçı mıdır? İç pazarı korumak için kotaları var mıdır? Daha önce pazara girmeyi deneyen veya hali hazırda pazarda olan Türk firmaları var mıdır?</w:t>
      </w:r>
      <w:proofErr w:type="gramStart"/>
      <w:r>
        <w:t>)</w:t>
      </w:r>
      <w:proofErr w:type="gramEnd"/>
    </w:p>
    <w:p w:rsidR="00F31D20" w:rsidRDefault="00F31D20" w:rsidP="00F31D20"/>
    <w:p w:rsidR="00C11EC2" w:rsidRDefault="00F31D20" w:rsidP="00F31D20">
      <w:r>
        <w:t xml:space="preserve">Avustralya’da ilaç ve tıbbı cihaz sektörlerinde pek çok ürün grubunda tedarik ithalata dayanmaktadır. Bahse konu ürün gruplarında kota uygulaması bulunmamaktadır. </w:t>
      </w:r>
      <w:proofErr w:type="spellStart"/>
      <w:r>
        <w:t>Sidney</w:t>
      </w:r>
      <w:proofErr w:type="spellEnd"/>
      <w:r>
        <w:t xml:space="preserve"> Ticaret Ataşeliğimiz ile geçmiş dönemlerde Avustralya pazarı hakkında bilgi talebinde bulunan firmalarımız bulunmakla </w:t>
      </w:r>
      <w:r>
        <w:lastRenderedPageBreak/>
        <w:t>birlikte, bahse konu sektörlerde Ataşeliğimiz görev bölgesinde şube ve/veya ofis şeklinde faaliyete geçen bir firmamız bulunmamaktadır. Epostanız ekinde yer alan GTİP kodları bağlamında, ülkemiz ile Avustralya arasındaki ticaret rakamları ekte yer alan sıkıştırılmış dosyada bilginize sunulmaktadır.</w:t>
      </w:r>
    </w:p>
    <w:p w:rsidR="00F31D20" w:rsidRDefault="00F31D20" w:rsidP="00F31D20"/>
    <w:p w:rsidR="00F31D20" w:rsidRDefault="00F31D20" w:rsidP="00F31D20">
      <w:r>
        <w:t>Ülkedeki büyük oyuncular, varsa yabancı yatırımcılar</w:t>
      </w:r>
    </w:p>
    <w:p w:rsidR="00F31D20" w:rsidRDefault="00F31D20" w:rsidP="00F31D20"/>
    <w:p w:rsidR="00F31D20" w:rsidRDefault="00F31D20" w:rsidP="00F31D20">
      <w:r>
        <w:t xml:space="preserve">Ekte yer alan ilaç ve tıbbi cihazlara ilişkin altı adet sektörel raporda her ürün </w:t>
      </w:r>
      <w:proofErr w:type="spellStart"/>
      <w:r>
        <w:t>segmenti</w:t>
      </w:r>
      <w:proofErr w:type="spellEnd"/>
      <w:r>
        <w:t xml:space="preserve"> için ayrı ayrı Avustralya piyasasındaki büyük oyuncular ve yabancı yatırımcılara ilişkin bilgiler yer almaktadır. Bahse konu raporlarda görüleceği üzere </w:t>
      </w:r>
      <w:proofErr w:type="gramStart"/>
      <w:r>
        <w:t>online</w:t>
      </w:r>
      <w:proofErr w:type="gramEnd"/>
      <w:r>
        <w:t xml:space="preserve"> ilaç ve online tıbbi malzeme alt sektörleri ile tıbbi cihaz </w:t>
      </w:r>
      <w:proofErr w:type="spellStart"/>
      <w:r>
        <w:t>segmentinde</w:t>
      </w:r>
      <w:proofErr w:type="spellEnd"/>
      <w:r>
        <w:t xml:space="preserve"> hakim konumda bir aktör bulunmamaktadır. </w:t>
      </w:r>
      <w:proofErr w:type="gramStart"/>
      <w:r>
        <w:t xml:space="preserve">Toptan ilaç sektöründe </w:t>
      </w:r>
      <w:proofErr w:type="spellStart"/>
      <w:r>
        <w:t>Sigma</w:t>
      </w:r>
      <w:proofErr w:type="spellEnd"/>
      <w:r>
        <w:t xml:space="preserve"> Healthcare </w:t>
      </w:r>
      <w:proofErr w:type="spellStart"/>
      <w:r>
        <w:t>Ltd</w:t>
      </w:r>
      <w:proofErr w:type="spellEnd"/>
      <w:r>
        <w:t xml:space="preserve"> (%31), </w:t>
      </w:r>
      <w:proofErr w:type="spellStart"/>
      <w:r>
        <w:t>Ebos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(%25) ve </w:t>
      </w:r>
      <w:proofErr w:type="spellStart"/>
      <w:r>
        <w:t>Australian</w:t>
      </w:r>
      <w:proofErr w:type="spellEnd"/>
      <w:r>
        <w:t xml:space="preserve"> </w:t>
      </w:r>
      <w:proofErr w:type="spellStart"/>
      <w:r>
        <w:t>Pharmaceuticals</w:t>
      </w:r>
      <w:proofErr w:type="spellEnd"/>
      <w:r>
        <w:t xml:space="preserve"> </w:t>
      </w:r>
      <w:proofErr w:type="spellStart"/>
      <w:r>
        <w:t>Industries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(%21); eczane sektöründe My </w:t>
      </w:r>
      <w:proofErr w:type="spellStart"/>
      <w:r>
        <w:t>Chemist</w:t>
      </w:r>
      <w:proofErr w:type="spellEnd"/>
      <w:r>
        <w:t xml:space="preserve"> Retail </w:t>
      </w:r>
      <w:proofErr w:type="spellStart"/>
      <w:r>
        <w:t>Group</w:t>
      </w:r>
      <w:proofErr w:type="spellEnd"/>
      <w:r>
        <w:t xml:space="preserve"> (%23), </w:t>
      </w:r>
      <w:proofErr w:type="spellStart"/>
      <w:r>
        <w:t>Sigma</w:t>
      </w:r>
      <w:proofErr w:type="spellEnd"/>
      <w:r>
        <w:t xml:space="preserve"> </w:t>
      </w:r>
      <w:proofErr w:type="spellStart"/>
      <w:r>
        <w:t>Pharmaceuticals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(%19), Terry White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(%12) ve </w:t>
      </w:r>
      <w:proofErr w:type="spellStart"/>
      <w:r>
        <w:t>Australian</w:t>
      </w:r>
      <w:proofErr w:type="spellEnd"/>
      <w:r>
        <w:t xml:space="preserve"> </w:t>
      </w:r>
      <w:proofErr w:type="spellStart"/>
      <w:r>
        <w:t>Pharmaceuticals</w:t>
      </w:r>
      <w:proofErr w:type="spellEnd"/>
      <w:r>
        <w:t xml:space="preserve"> </w:t>
      </w:r>
      <w:proofErr w:type="spellStart"/>
      <w:r>
        <w:t>Industries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(%10) ve ilaç üretimi alt sektöründe </w:t>
      </w:r>
      <w:proofErr w:type="spellStart"/>
      <w:r>
        <w:t>GlaxoSmithKleine</w:t>
      </w:r>
      <w:proofErr w:type="spellEnd"/>
      <w:r>
        <w:t xml:space="preserve"> </w:t>
      </w:r>
      <w:proofErr w:type="spellStart"/>
      <w:r>
        <w:t>Holdings</w:t>
      </w:r>
      <w:proofErr w:type="spellEnd"/>
      <w:r>
        <w:t xml:space="preserve"> </w:t>
      </w:r>
      <w:proofErr w:type="spellStart"/>
      <w:r>
        <w:t>Pty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(%14), </w:t>
      </w:r>
      <w:proofErr w:type="spellStart"/>
      <w:r>
        <w:t>AstraZeneca</w:t>
      </w:r>
      <w:proofErr w:type="spellEnd"/>
      <w:r>
        <w:t xml:space="preserve"> </w:t>
      </w:r>
      <w:proofErr w:type="spellStart"/>
      <w:r>
        <w:t>Pty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(%12) ve Pfizer </w:t>
      </w:r>
      <w:proofErr w:type="spellStart"/>
      <w:r>
        <w:t>Australia</w:t>
      </w:r>
      <w:proofErr w:type="spellEnd"/>
      <w:r>
        <w:t xml:space="preserve"> </w:t>
      </w:r>
      <w:proofErr w:type="spellStart"/>
      <w:r>
        <w:t>Holdings</w:t>
      </w:r>
      <w:proofErr w:type="spellEnd"/>
      <w:r>
        <w:t xml:space="preserve"> </w:t>
      </w:r>
      <w:proofErr w:type="spellStart"/>
      <w:r>
        <w:t>Pty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(%9) başat oyuncular olarak öne çıkmaktadırlar. </w:t>
      </w:r>
      <w:proofErr w:type="gramEnd"/>
    </w:p>
    <w:p w:rsidR="00F31D20" w:rsidRDefault="00F31D20" w:rsidP="00F31D20"/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 xml:space="preserve">Medical Board of </w:t>
      </w:r>
      <w:proofErr w:type="spellStart"/>
      <w:r>
        <w:rPr>
          <w:rStyle w:val="Gl"/>
          <w:rFonts w:ascii="Calibri" w:hAnsi="Calibri" w:cs="Calibri"/>
          <w:color w:val="000000"/>
        </w:rPr>
        <w:t>Australia</w:t>
      </w:r>
      <w:proofErr w:type="spellEnd"/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hyperlink r:id="rId4" w:history="1">
        <w:r>
          <w:rPr>
            <w:rStyle w:val="Kpr"/>
            <w:rFonts w:ascii="Calibri" w:hAnsi="Calibri" w:cs="Calibri"/>
          </w:rPr>
          <w:t>http://www.medicalboard.gov.au/</w:t>
        </w:r>
      </w:hyperlink>
      <w:r>
        <w:rPr>
          <w:rFonts w:ascii="Calibri" w:hAnsi="Calibri" w:cs="Calibri"/>
          <w:color w:val="000000"/>
        </w:rPr>
        <w:t xml:space="preserve"> 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proofErr w:type="spellStart"/>
      <w:r>
        <w:rPr>
          <w:rStyle w:val="Gl"/>
          <w:rFonts w:ascii="Calibri" w:hAnsi="Calibri" w:cs="Calibri"/>
          <w:color w:val="000000"/>
        </w:rPr>
        <w:t>Department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of Health </w:t>
      </w:r>
      <w:proofErr w:type="spellStart"/>
      <w:r>
        <w:rPr>
          <w:rStyle w:val="Gl"/>
          <w:rFonts w:ascii="Calibri" w:hAnsi="Calibri" w:cs="Calibri"/>
          <w:color w:val="000000"/>
        </w:rPr>
        <w:t>Therapeutic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</w:t>
      </w:r>
      <w:proofErr w:type="spellStart"/>
      <w:r>
        <w:rPr>
          <w:rStyle w:val="Gl"/>
          <w:rFonts w:ascii="Calibri" w:hAnsi="Calibri" w:cs="Calibri"/>
          <w:color w:val="000000"/>
        </w:rPr>
        <w:t>Goods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Administration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hyperlink r:id="rId5" w:history="1">
        <w:r>
          <w:rPr>
            <w:rStyle w:val="Kpr"/>
            <w:rFonts w:ascii="Calibri" w:hAnsi="Calibri" w:cs="Calibri"/>
          </w:rPr>
          <w:t>https://www.tga.gov.au/import-and-export</w:t>
        </w:r>
      </w:hyperlink>
      <w:r>
        <w:rPr>
          <w:rFonts w:ascii="Calibri" w:hAnsi="Calibri" w:cs="Calibri"/>
          <w:color w:val="000000"/>
        </w:rPr>
        <w:t xml:space="preserve"> 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Mevzuat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hyperlink r:id="rId6" w:history="1">
        <w:r>
          <w:rPr>
            <w:rStyle w:val="Kpr"/>
            <w:rFonts w:ascii="Calibri" w:hAnsi="Calibri" w:cs="Calibri"/>
          </w:rPr>
          <w:t>https://www.tga.gov.au/legislation-legislative-instruments</w:t>
        </w:r>
      </w:hyperlink>
      <w:r>
        <w:rPr>
          <w:rFonts w:ascii="Calibri" w:hAnsi="Calibri" w:cs="Calibri"/>
          <w:color w:val="000000"/>
        </w:rPr>
        <w:t xml:space="preserve"> 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proofErr w:type="spellStart"/>
      <w:r>
        <w:rPr>
          <w:rStyle w:val="Gl"/>
          <w:rFonts w:ascii="Calibri" w:hAnsi="Calibri" w:cs="Calibri"/>
          <w:color w:val="000000"/>
        </w:rPr>
        <w:t>Australian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</w:t>
      </w:r>
      <w:proofErr w:type="spellStart"/>
      <w:r>
        <w:rPr>
          <w:rStyle w:val="Gl"/>
          <w:rFonts w:ascii="Calibri" w:hAnsi="Calibri" w:cs="Calibri"/>
          <w:color w:val="000000"/>
        </w:rPr>
        <w:t>regulatory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</w:t>
      </w:r>
      <w:proofErr w:type="spellStart"/>
      <w:r>
        <w:rPr>
          <w:rStyle w:val="Gl"/>
          <w:rFonts w:ascii="Calibri" w:hAnsi="Calibri" w:cs="Calibri"/>
          <w:color w:val="000000"/>
        </w:rPr>
        <w:t>guidelines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</w:t>
      </w:r>
      <w:proofErr w:type="spellStart"/>
      <w:r>
        <w:rPr>
          <w:rStyle w:val="Gl"/>
          <w:rFonts w:ascii="Calibri" w:hAnsi="Calibri" w:cs="Calibri"/>
          <w:color w:val="000000"/>
        </w:rPr>
        <w:t>for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medical </w:t>
      </w:r>
      <w:proofErr w:type="spellStart"/>
      <w:r>
        <w:rPr>
          <w:rStyle w:val="Gl"/>
          <w:rFonts w:ascii="Calibri" w:hAnsi="Calibri" w:cs="Calibri"/>
          <w:color w:val="000000"/>
        </w:rPr>
        <w:t>devices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(ARGMD)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hyperlink r:id="rId7" w:history="1">
        <w:r>
          <w:rPr>
            <w:rStyle w:val="Kpr"/>
            <w:rFonts w:ascii="Calibri" w:hAnsi="Calibri" w:cs="Calibri"/>
          </w:rPr>
          <w:t>https://www.tga.gov.au/publication/australian-regulatory-guidelines-medical-devices-argmd</w:t>
        </w:r>
      </w:hyperlink>
      <w:r>
        <w:rPr>
          <w:rFonts w:ascii="Calibri" w:hAnsi="Calibri" w:cs="Calibri"/>
          <w:color w:val="000000"/>
        </w:rPr>
        <w:t xml:space="preserve"> 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r>
        <w:rPr>
          <w:rStyle w:val="Gl"/>
          <w:rFonts w:ascii="Calibri" w:hAnsi="Calibri" w:cs="Calibri"/>
          <w:color w:val="000000"/>
        </w:rPr>
        <w:t>Gümrük vergi oranları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hyperlink r:id="rId8" w:anchor="medi" w:history="1">
        <w:r>
          <w:rPr>
            <w:rStyle w:val="Kpr"/>
            <w:rFonts w:ascii="Calibri" w:hAnsi="Calibri" w:cs="Calibri"/>
          </w:rPr>
          <w:t>https://www.homeaffairs.gov.au/busi/cargo-support-trade-and-goods/importing-goods/tariff-classification-of-goods/current-tariff-classification/schedule-3/section-vi/chapter-30#medi</w:t>
        </w:r>
      </w:hyperlink>
      <w:r>
        <w:rPr>
          <w:rFonts w:ascii="Calibri" w:hAnsi="Calibri" w:cs="Calibri"/>
          <w:color w:val="000000"/>
        </w:rPr>
        <w:t xml:space="preserve"> 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hyperlink r:id="rId9" w:history="1">
        <w:r>
          <w:rPr>
            <w:rStyle w:val="Kpr"/>
            <w:rFonts w:ascii="Calibri" w:hAnsi="Calibri" w:cs="Calibri"/>
          </w:rPr>
          <w:t>http://www.homeaffairs.gov.au/busi/cargo-support-trade-and-goods/importing-goods/tariff-classification-of-goods/current-tariff-classification/schedule-3</w:t>
        </w:r>
      </w:hyperlink>
      <w:r>
        <w:rPr>
          <w:rFonts w:ascii="Calibri" w:hAnsi="Calibri" w:cs="Calibri"/>
          <w:color w:val="000000"/>
        </w:rPr>
        <w:t xml:space="preserve"> ​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proofErr w:type="spellStart"/>
      <w:r>
        <w:rPr>
          <w:rStyle w:val="Gl"/>
          <w:rFonts w:ascii="Calibri" w:hAnsi="Calibri" w:cs="Calibri"/>
          <w:color w:val="000000"/>
        </w:rPr>
        <w:t>Pharmaceutical</w:t>
      </w:r>
      <w:proofErr w:type="spellEnd"/>
      <w:r>
        <w:rPr>
          <w:rStyle w:val="Gl"/>
          <w:rFonts w:ascii="Calibri" w:hAnsi="Calibri" w:cs="Calibri"/>
          <w:color w:val="000000"/>
        </w:rPr>
        <w:t xml:space="preserve"> Report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hyperlink r:id="rId10" w:history="1">
        <w:r>
          <w:rPr>
            <w:rStyle w:val="Kpr"/>
            <w:rFonts w:ascii="Calibri" w:hAnsi="Calibri" w:cs="Calibri"/>
          </w:rPr>
          <w:t>https://www.ibisworld.com.au/industry-trends/market-research-reports/manufacturing/basic-chemical-product/pharmaceutical-product-manufacturing.html</w:t>
        </w:r>
      </w:hyperlink>
      <w:r>
        <w:rPr>
          <w:rFonts w:ascii="Calibri" w:hAnsi="Calibri" w:cs="Calibri"/>
          <w:color w:val="000000"/>
        </w:rPr>
        <w:t xml:space="preserve"> </w:t>
      </w:r>
    </w:p>
    <w:p w:rsidR="00FC69FB" w:rsidRDefault="00FC69FB" w:rsidP="00FC69FB">
      <w:pPr>
        <w:pStyle w:val="NormalWeb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​</w:t>
      </w:r>
    </w:p>
    <w:p w:rsidR="00F31D20" w:rsidRDefault="00F31D20" w:rsidP="00F31D20"/>
    <w:p w:rsidR="00FC69FB" w:rsidRDefault="00FC69FB" w:rsidP="00FC69FB">
      <w:pPr>
        <w:jc w:val="center"/>
      </w:pPr>
      <w:bookmarkStart w:id="0" w:name="_GoBack"/>
      <w:bookmarkEnd w:id="0"/>
    </w:p>
    <w:sectPr w:rsidR="00FC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654"/>
    <w:rsid w:val="006C48CD"/>
    <w:rsid w:val="00C11EC2"/>
    <w:rsid w:val="00C17654"/>
    <w:rsid w:val="00F31D20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C5448-3650-432A-A7BE-CAB67FC49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C69FB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FC69FB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C69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meaffairs.gov.au/busi/cargo-support-trade-and-goods/importing-goods/tariff-classification-of-goods/current-tariff-classification/schedule-3/section-vi/chapter-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tga.gov.au/publication/australian-regulatory-guidelines-medical-devices-argm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ga.gov.au/legislation-legislative-instrument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tga.gov.au/import-and-export" TargetMode="External"/><Relationship Id="rId10" Type="http://schemas.openxmlformats.org/officeDocument/2006/relationships/hyperlink" Target="https://www.ibisworld.com.au/industry-trends/market-research-reports/manufacturing/basic-chemical-product/pharmaceutical-product-manufacturing.html" TargetMode="External"/><Relationship Id="rId4" Type="http://schemas.openxmlformats.org/officeDocument/2006/relationships/hyperlink" Target="http://www.medicalboard.gov.au/" TargetMode="External"/><Relationship Id="rId9" Type="http://schemas.openxmlformats.org/officeDocument/2006/relationships/hyperlink" Target="http://www.homeaffairs.gov.au/busi/cargo-support-trade-and-goods/importing-goods/tariff-classification-of-goods/current-tariff-classification/schedule-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811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3</cp:revision>
  <dcterms:created xsi:type="dcterms:W3CDTF">2018-07-12T15:16:00Z</dcterms:created>
  <dcterms:modified xsi:type="dcterms:W3CDTF">2018-07-13T10:47:00Z</dcterms:modified>
</cp:coreProperties>
</file>